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56A" w:rsidRDefault="00DA056A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Документ предоставлен </w:t>
      </w:r>
      <w:hyperlink r:id="rId5" w:history="1">
        <w:proofErr w:type="spellStart"/>
        <w:r>
          <w:rPr>
            <w:rFonts w:ascii="Calibri" w:hAnsi="Calibri" w:cs="Calibri"/>
            <w:color w:val="0000FF"/>
          </w:rPr>
          <w:t>КонсультантПлюс</w:t>
        </w:r>
        <w:proofErr w:type="spellEnd"/>
      </w:hyperlink>
      <w:r>
        <w:rPr>
          <w:rFonts w:ascii="Calibri" w:hAnsi="Calibri" w:cs="Calibri"/>
        </w:rPr>
        <w:br/>
      </w:r>
    </w:p>
    <w:p w:rsidR="00DA056A" w:rsidRDefault="00DA056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DA056A" w:rsidRDefault="00DA056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МИНИСТЕРСТВО СТРОИТЕЛЬСТВА И ЖИЛИЩНО-КОММУНАЛЬНОГО</w:t>
      </w:r>
    </w:p>
    <w:p w:rsidR="00DA056A" w:rsidRDefault="00DA056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ХОЗЯЙСТВА РОССИЙСКОЙ ФЕДЕРАЦИИ</w:t>
      </w:r>
    </w:p>
    <w:p w:rsidR="00DA056A" w:rsidRDefault="00DA056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DA056A" w:rsidRDefault="00DA056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ПИСЬМО</w:t>
      </w:r>
    </w:p>
    <w:p w:rsidR="00DA056A" w:rsidRDefault="00DA056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10 апреля 2015 г. N 10371-АЧ/04</w:t>
      </w:r>
    </w:p>
    <w:p w:rsidR="00DA056A" w:rsidRDefault="00DA05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A056A" w:rsidRDefault="00DA056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Федеральным законом от 7 мая 2013 г. N 103-ФЗ "О внесении изменений в Федеральный закон "О концессионных соглашениях и внесении изменений в отдельные законодательные акты Российской Федерации" (далее - Федеральный закон N 103-ФЗ) внесены изменения в законодательство о концессионных соглашениях, о теплоснабжении, водоснабжении и водоотведении, устанавливающие особенности заключения концессионных соглашений в отношении объектов теплоснабжения, централизованных систем горячего водоснабжения, холодного водоснабжения и</w:t>
      </w:r>
      <w:proofErr w:type="gramEnd"/>
      <w:r>
        <w:rPr>
          <w:rFonts w:ascii="Calibri" w:hAnsi="Calibri" w:cs="Calibri"/>
        </w:rPr>
        <w:t xml:space="preserve"> (или) водоотведения, отдельных объектов таких систем (далее - объекты коммунальной инфраструктуры).</w:t>
      </w:r>
    </w:p>
    <w:p w:rsidR="00DA056A" w:rsidRDefault="00DA056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Основные изменения, внесенные Федеральным </w:t>
      </w:r>
      <w:hyperlink r:id="rId6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N 103-ФЗ, вступили в силу с 1 января 2014 года. </w:t>
      </w:r>
      <w:proofErr w:type="gramStart"/>
      <w:r>
        <w:rPr>
          <w:rFonts w:ascii="Calibri" w:hAnsi="Calibri" w:cs="Calibri"/>
        </w:rPr>
        <w:t xml:space="preserve">Вместе с тем анализ концессионных соглашений, заключенных за период 2014 - 2015 годов, показал, что в большинстве случаев концессионные соглашения не соответствуют требованиям, установленным Федеральным </w:t>
      </w:r>
      <w:hyperlink r:id="rId7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21 июля 2005 г. N 115-ФЗ "О концессионных соглашениях" (далее - Закон о концессионных соглашениях), в том числе в части положений, внесенных Федеральным </w:t>
      </w:r>
      <w:hyperlink r:id="rId8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N 103-ФЗ.</w:t>
      </w:r>
      <w:proofErr w:type="gramEnd"/>
    </w:p>
    <w:p w:rsidR="00DA056A" w:rsidRDefault="00DA056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proofErr w:type="gramStart"/>
      <w:r>
        <w:rPr>
          <w:rFonts w:ascii="Calibri" w:hAnsi="Calibri" w:cs="Calibri"/>
        </w:rPr>
        <w:t>целях</w:t>
      </w:r>
      <w:proofErr w:type="gramEnd"/>
      <w:r>
        <w:rPr>
          <w:rFonts w:ascii="Calibri" w:hAnsi="Calibri" w:cs="Calibri"/>
        </w:rPr>
        <w:t xml:space="preserve"> обеспечения заключения концессионных соглашений, соответствующих действующему законодательству и обеспечивающих баланс интересов сторон соглашения, Минстрой России обращает внимание на следующее.</w:t>
      </w:r>
    </w:p>
    <w:p w:rsidR="00DA056A" w:rsidRDefault="00DA056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Наиболее часто встречающимся нарушением является отсутствие в концессионных соглашениях необходимых существенных условий, предусмотренных </w:t>
      </w:r>
      <w:hyperlink r:id="rId9" w:history="1">
        <w:r>
          <w:rPr>
            <w:rFonts w:ascii="Calibri" w:hAnsi="Calibri" w:cs="Calibri"/>
            <w:color w:val="0000FF"/>
          </w:rPr>
          <w:t>статьей 10</w:t>
        </w:r>
      </w:hyperlink>
      <w:r>
        <w:rPr>
          <w:rFonts w:ascii="Calibri" w:hAnsi="Calibri" w:cs="Calibri"/>
        </w:rPr>
        <w:t xml:space="preserve"> Закона о концессионных соглашениях. В </w:t>
      </w:r>
      <w:proofErr w:type="gramStart"/>
      <w:r>
        <w:rPr>
          <w:rFonts w:ascii="Calibri" w:hAnsi="Calibri" w:cs="Calibri"/>
        </w:rPr>
        <w:t>соответствии</w:t>
      </w:r>
      <w:proofErr w:type="gramEnd"/>
      <w:r>
        <w:rPr>
          <w:rFonts w:ascii="Calibri" w:hAnsi="Calibri" w:cs="Calibri"/>
        </w:rPr>
        <w:t xml:space="preserve"> с </w:t>
      </w:r>
      <w:hyperlink r:id="rId10" w:history="1">
        <w:r>
          <w:rPr>
            <w:rFonts w:ascii="Calibri" w:hAnsi="Calibri" w:cs="Calibri"/>
            <w:color w:val="0000FF"/>
          </w:rPr>
          <w:t>частью 1 статьи 432</w:t>
        </w:r>
      </w:hyperlink>
      <w:r>
        <w:rPr>
          <w:rFonts w:ascii="Calibri" w:hAnsi="Calibri" w:cs="Calibri"/>
        </w:rPr>
        <w:t xml:space="preserve"> Гражданского кодекса Российской Федерации договор считается заключенным, если между сторонами, в требуемой в подлежащих случаях форме, достигнуто соглашение по всем существенным условиям договора. Таким образом, в случае отсутствия в концессионных соглашениях существенных условий, предусмотренных </w:t>
      </w:r>
      <w:hyperlink r:id="rId11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 концессионных соглашениях, такие соглашения считаются незаключенными.</w:t>
      </w:r>
    </w:p>
    <w:p w:rsidR="00DA056A" w:rsidRDefault="00DA056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Считаем необходимым отметить, что Федеральным </w:t>
      </w:r>
      <w:hyperlink r:id="rId12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N 103-ФЗ перечень существенных условий, которые должны содержаться в концессионном соглашении, значительно расширен. К ним отнесены долгосрочные параметры регулирования деятельности концессионера, расходы концессионера на создание и (или) реконструкцию объектов соглашения, значения показателей надежности, качества, энергетической эффективности объектов, порядок возмещения расходов концессионера.</w:t>
      </w:r>
    </w:p>
    <w:p w:rsidR="00DA056A" w:rsidRDefault="00DA056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Федеральным </w:t>
      </w:r>
      <w:hyperlink r:id="rId13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N 103-ФЗ введено требование, согласно которому частный оператор не сможет получить в эксплуатацию объекты коммунальной инфраструктуры без принятия на себя обязательств по модернизации (созданию, реконструкции) имущества за счет привлеченных средств.</w:t>
      </w:r>
    </w:p>
    <w:p w:rsidR="00DA056A" w:rsidRDefault="00DA056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Обязательства концессионера по созданию и (или) реконструкции (модернизации) объекта концессионного соглашения, а также осуществления деятельности с его использованием должны быть указаны в концессионном соглашении.</w:t>
      </w:r>
    </w:p>
    <w:p w:rsidR="00DA056A" w:rsidRDefault="00DA056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Указанные обязательства необходимо отражать в виде основных мероприятий по созданию и (или) реконструкции объекта концессионного соглашения, обеспечивающих достижение предусмотренных заданием целей и минимально допустимых плановых значений показателей деятельности концессионера, с описанием основных характеристик этих мероприятий. Причем обязательства определяются </w:t>
      </w:r>
      <w:proofErr w:type="spellStart"/>
      <w:r>
        <w:rPr>
          <w:rFonts w:ascii="Calibri" w:hAnsi="Calibri" w:cs="Calibri"/>
        </w:rPr>
        <w:t>концедентом</w:t>
      </w:r>
      <w:proofErr w:type="spellEnd"/>
      <w:r>
        <w:rPr>
          <w:rFonts w:ascii="Calibri" w:hAnsi="Calibri" w:cs="Calibri"/>
        </w:rPr>
        <w:t xml:space="preserve"> по результатам проведенного технического обследования передаваемых объектов, а также с учетом развития систем теплоснабжения, водоснабжения и водоотведения, предусмотренного схемами тепло-, водоснабжения и </w:t>
      </w:r>
      <w:r>
        <w:rPr>
          <w:rFonts w:ascii="Calibri" w:hAnsi="Calibri" w:cs="Calibri"/>
        </w:rPr>
        <w:lastRenderedPageBreak/>
        <w:t>водоотведения.</w:t>
      </w:r>
    </w:p>
    <w:p w:rsidR="00DA056A" w:rsidRDefault="00DA056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концессионном </w:t>
      </w:r>
      <w:proofErr w:type="gramStart"/>
      <w:r>
        <w:rPr>
          <w:rFonts w:ascii="Calibri" w:hAnsi="Calibri" w:cs="Calibri"/>
        </w:rPr>
        <w:t>соглашении</w:t>
      </w:r>
      <w:proofErr w:type="gramEnd"/>
      <w:r>
        <w:rPr>
          <w:rFonts w:ascii="Calibri" w:hAnsi="Calibri" w:cs="Calibri"/>
        </w:rPr>
        <w:t xml:space="preserve"> должны быть также определены сроки работ по строительству (реконструкции, модернизации), сроки ввода в эксплуатацию объектов, сроки осуществления деятельности.</w:t>
      </w:r>
    </w:p>
    <w:p w:rsidR="00DA056A" w:rsidRDefault="00DA056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этом целесообразно устанавливать сроки выполнения работ по строительству (реконструкции, модернизации) в первые годы срока действия концессионного соглашения (например, 3 - 7 гг. в зависимости от срока действия концессионного соглашения).</w:t>
      </w:r>
    </w:p>
    <w:p w:rsidR="00DA056A" w:rsidRDefault="00DA056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Концессионное соглашение должно содержать описание, в том числе технико-экономические показатели, объекта концессионного соглашения.</w:t>
      </w:r>
    </w:p>
    <w:p w:rsidR="00DA056A" w:rsidRDefault="00DA056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описании объекта концессионного соглашения необходимо отражать следующие характеристики: тип системы коммунальной инфраструктуры, количество основных объектов (например, котельных, источников водоснабжения, трансформаторных подстанций, насосных станций, очистных сооружений и т.д.), общую протяженность сетей по их видам, сведения о потерях ресурсов на объектах имущества.</w:t>
      </w:r>
    </w:p>
    <w:p w:rsidR="00DA056A" w:rsidRDefault="00DA056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описании техническо-экономических показателей объектов, входящих в состав объекта концессионного соглашения, следует приводить следующие показатели - сведения о сроке эксплуатации, износе, балансовой стоимости, о проведенных мероприятиях по ремонту.</w:t>
      </w:r>
    </w:p>
    <w:p w:rsidR="00DA056A" w:rsidRDefault="00DA056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Кроме того, необходимо указать основные технические характеристики объектов недвижимого имущества, входящих в состав объекта концессионного соглашения, объектов оборудования, которыми оснащены объекты недвижимого имущества.</w:t>
      </w:r>
    </w:p>
    <w:p w:rsidR="00DA056A" w:rsidRDefault="00DA056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Аналогичным образом необходимо описывать объекты иного имущества, передаваемого </w:t>
      </w:r>
      <w:proofErr w:type="spellStart"/>
      <w:r>
        <w:rPr>
          <w:rFonts w:ascii="Calibri" w:hAnsi="Calibri" w:cs="Calibri"/>
        </w:rPr>
        <w:t>концедентом</w:t>
      </w:r>
      <w:proofErr w:type="spellEnd"/>
      <w:r>
        <w:rPr>
          <w:rFonts w:ascii="Calibri" w:hAnsi="Calibri" w:cs="Calibri"/>
        </w:rPr>
        <w:t xml:space="preserve"> концессионеру по концессионному соглашению.</w:t>
      </w:r>
    </w:p>
    <w:p w:rsidR="00DA056A" w:rsidRDefault="00DA056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Значения долгосрочных параметров регулирования деятельности концессионера должны быть согласованы с органами исполнительной власти или органами местного самоуправления, осуществляющими регулирование цен (тарифов) в соответствии с законодательством Российской Федерации в сфере регулирования цен (тарифов).</w:t>
      </w:r>
    </w:p>
    <w:p w:rsidR="00DA056A" w:rsidRDefault="00DA056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Плановые значения показателей надежности, качества, энергетической эффективности объектов устанавливаются на каждый год срока действия концессионного соглашения.</w:t>
      </w:r>
    </w:p>
    <w:p w:rsidR="00DA056A" w:rsidRDefault="00DA056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 При определении порядка возмещения расходов концессионера, не возмещенных ему на момент окончания срока действия концессионного соглашения, а также при досрочном расторжении концессионного соглашения необходимо учитывать следующее.</w:t>
      </w:r>
    </w:p>
    <w:p w:rsidR="00DA056A" w:rsidRDefault="00DA056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концессионном </w:t>
      </w:r>
      <w:proofErr w:type="gramStart"/>
      <w:r>
        <w:rPr>
          <w:rFonts w:ascii="Calibri" w:hAnsi="Calibri" w:cs="Calibri"/>
        </w:rPr>
        <w:t>соглашении</w:t>
      </w:r>
      <w:proofErr w:type="gramEnd"/>
      <w:r>
        <w:rPr>
          <w:rFonts w:ascii="Calibri" w:hAnsi="Calibri" w:cs="Calibri"/>
        </w:rPr>
        <w:t xml:space="preserve"> должны быть перечислены виды расходов концессионера, подлежащие возмещению. Такие расходы по составу должны соответствовать составу инвестиционных расходов концессионера (например, расходы на создание, реконструкцию, модернизацию, капитальный ремонт объекта соглашения).</w:t>
      </w:r>
    </w:p>
    <w:p w:rsidR="00DA056A" w:rsidRDefault="00DA056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Кроме того, необходимо указывать срок, в течение которого не возмещенные за счет тарифа расходы возвращаются концессионеру. </w:t>
      </w:r>
      <w:proofErr w:type="gramStart"/>
      <w:r>
        <w:rPr>
          <w:rFonts w:ascii="Calibri" w:hAnsi="Calibri" w:cs="Calibri"/>
        </w:rPr>
        <w:t xml:space="preserve">В соответствии с </w:t>
      </w:r>
      <w:hyperlink r:id="rId14" w:history="1">
        <w:r>
          <w:rPr>
            <w:rFonts w:ascii="Calibri" w:hAnsi="Calibri" w:cs="Calibri"/>
            <w:color w:val="0000FF"/>
          </w:rPr>
          <w:t>частью 1.3 статьи 10</w:t>
        </w:r>
      </w:hyperlink>
      <w:r>
        <w:rPr>
          <w:rFonts w:ascii="Calibri" w:hAnsi="Calibri" w:cs="Calibri"/>
        </w:rPr>
        <w:t xml:space="preserve"> Закона о концессионных соглашениях такой срок не может превышать 2 лет при </w:t>
      </w:r>
      <w:proofErr w:type="spellStart"/>
      <w:r>
        <w:rPr>
          <w:rFonts w:ascii="Calibri" w:hAnsi="Calibri" w:cs="Calibri"/>
        </w:rPr>
        <w:t>непродлении</w:t>
      </w:r>
      <w:proofErr w:type="spellEnd"/>
      <w:r>
        <w:rPr>
          <w:rFonts w:ascii="Calibri" w:hAnsi="Calibri" w:cs="Calibri"/>
        </w:rPr>
        <w:t xml:space="preserve"> срока действия концессионного соглашения, а также 5 лет - при условии продления срока действия концессионного соглашения на период, достаточный для возмещения указанных расходов концессионера, или при условии возмещения указанных расходов, с учетом нормы доходности инвестированного капитала.</w:t>
      </w:r>
      <w:proofErr w:type="gramEnd"/>
    </w:p>
    <w:p w:rsidR="00DA056A" w:rsidRDefault="00DA056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7. В </w:t>
      </w:r>
      <w:proofErr w:type="gramStart"/>
      <w:r>
        <w:rPr>
          <w:rFonts w:ascii="Calibri" w:hAnsi="Calibri" w:cs="Calibri"/>
        </w:rPr>
        <w:t>случае</w:t>
      </w:r>
      <w:proofErr w:type="gramEnd"/>
      <w:r>
        <w:rPr>
          <w:rFonts w:ascii="Calibri" w:hAnsi="Calibri" w:cs="Calibri"/>
        </w:rPr>
        <w:t xml:space="preserve"> если объектом концессионного соглашения являются объекты теплоснабжения, водоснабжения, водоснабжения и (или) водоотведения, обеспечением исполнения обязательств по концессионному соглашению может быть только безотзывная банковская гарантия.</w:t>
      </w:r>
    </w:p>
    <w:p w:rsidR="00DA056A" w:rsidRDefault="00DA056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Банковская гарантия должна быть непередаваемой и соответствовать иным требованиям </w:t>
      </w:r>
      <w:hyperlink r:id="rId15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Российской Федерации от 19 декабря 2013 г. N 1188 "Об утверждении требований к банковской гарантии, предоставляемой в случае, если объектом концессионного соглашения являются объекты теплоснабжения, централизованные системы горячего водоснабжения, холодного водоснабжения и (или) водоотведения, отдельные объекты таких систем".</w:t>
      </w:r>
    </w:p>
    <w:p w:rsidR="00DA056A" w:rsidRDefault="00DA056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концессионном </w:t>
      </w:r>
      <w:proofErr w:type="gramStart"/>
      <w:r>
        <w:rPr>
          <w:rFonts w:ascii="Calibri" w:hAnsi="Calibri" w:cs="Calibri"/>
        </w:rPr>
        <w:t>соглашении</w:t>
      </w:r>
      <w:proofErr w:type="gramEnd"/>
      <w:r>
        <w:rPr>
          <w:rFonts w:ascii="Calibri" w:hAnsi="Calibri" w:cs="Calibri"/>
        </w:rPr>
        <w:t xml:space="preserve"> требуется указать размер банковской гарантии на каждый год действия банковской гарантии, а также срок действия банковской гарантии.</w:t>
      </w:r>
    </w:p>
    <w:p w:rsidR="00DA056A" w:rsidRDefault="00DA056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8. Установление, изменение, корректировка регулируемых цен (тарифов) на производимые </w:t>
      </w:r>
      <w:r>
        <w:rPr>
          <w:rFonts w:ascii="Calibri" w:hAnsi="Calibri" w:cs="Calibri"/>
        </w:rPr>
        <w:lastRenderedPageBreak/>
        <w:t>и реализуемые концессионером товары, оказываемые услуги осуществляются по правилам, действовавшим на момент заключения такого концессионного соглашения. При этом метод тарифного регулирования указывается в концессионном соглашении.</w:t>
      </w:r>
    </w:p>
    <w:p w:rsidR="00DA056A" w:rsidRDefault="00DA056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16" w:history="1">
        <w:proofErr w:type="gramStart"/>
        <w:r>
          <w:rPr>
            <w:rFonts w:ascii="Calibri" w:hAnsi="Calibri" w:cs="Calibri"/>
            <w:color w:val="0000FF"/>
          </w:rPr>
          <w:t>Пунктом 14.1</w:t>
        </w:r>
      </w:hyperlink>
      <w:r>
        <w:rPr>
          <w:rFonts w:ascii="Calibri" w:hAnsi="Calibri" w:cs="Calibri"/>
        </w:rPr>
        <w:t xml:space="preserve"> Плана действий по привлечению в жилищно-коммунальное хозяйство частных инвестиций, утвержденного распоряжением Правительства Российской Федерации от 22 августа 2011 г. N 1493-р (далее - План) предусмотрено проведение конкурсов на право заключения концессионных соглашений с целью передачи в концессию объектов жилищно-коммунального хозяйства всех неэффективных предприятий государственных и муниципальных предприятий в сфере жилищно-коммунального хозяйства согласно графикам не позднее 1 января 2016 года</w:t>
      </w:r>
      <w:proofErr w:type="gramEnd"/>
      <w:r>
        <w:rPr>
          <w:rFonts w:ascii="Calibri" w:hAnsi="Calibri" w:cs="Calibri"/>
        </w:rPr>
        <w:t>.</w:t>
      </w:r>
    </w:p>
    <w:p w:rsidR="00DA056A" w:rsidRDefault="00DA056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В целях оказания методической помощи в подготовке и реализации концессионных соглашений Минстрой России подготовил типовую конкурсную документацию по проведению открытого конкурса на право заключения концессионного соглашения в отношении объектов коммунальной инфраструктуры с учетом законодательства Российской Федерации о концессионных соглашениях.</w:t>
      </w:r>
      <w:proofErr w:type="gramEnd"/>
    </w:p>
    <w:p w:rsidR="00DA056A" w:rsidRDefault="00DA056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Указанная документация размещена на официальном сайте министерства в разделе "Документы" - "Конкурсная документация по проведению открытого конкурса на право заключения концессионного соглашения в отношении системы коммунальной инфраструктуры" http://minstroyrf.ru/docs/3603/</w:t>
      </w:r>
    </w:p>
    <w:p w:rsidR="00DA056A" w:rsidRDefault="00DA056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С целью своевременного исполнения </w:t>
      </w:r>
      <w:hyperlink r:id="rId17" w:history="1">
        <w:r>
          <w:rPr>
            <w:rFonts w:ascii="Calibri" w:hAnsi="Calibri" w:cs="Calibri"/>
            <w:color w:val="0000FF"/>
          </w:rPr>
          <w:t>Плана</w:t>
        </w:r>
      </w:hyperlink>
      <w:r>
        <w:rPr>
          <w:rFonts w:ascii="Calibri" w:hAnsi="Calibri" w:cs="Calibri"/>
        </w:rPr>
        <w:t xml:space="preserve"> прошу довести указанные разъяснения о применении законодательства Российской Федерации о концессионных соглашениях и информацию до заинтересованных органов исполнительной власти субъектов Российской Федерации и органов местного самоуправления.</w:t>
      </w:r>
    </w:p>
    <w:p w:rsidR="00DA056A" w:rsidRDefault="00DA05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A056A" w:rsidRDefault="00DA056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А.В.ЧИБИС</w:t>
      </w:r>
    </w:p>
    <w:p w:rsidR="00DA056A" w:rsidRDefault="00DA05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A056A" w:rsidRDefault="00DA05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A056A" w:rsidRDefault="00DA056A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"/>
          <w:szCs w:val="2"/>
        </w:rPr>
      </w:pPr>
    </w:p>
    <w:p w:rsidR="00665A4C" w:rsidRDefault="00665A4C">
      <w:bookmarkStart w:id="0" w:name="_GoBack"/>
      <w:bookmarkEnd w:id="0"/>
    </w:p>
    <w:sectPr w:rsidR="00665A4C" w:rsidSect="004041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056A"/>
    <w:rsid w:val="00001318"/>
    <w:rsid w:val="0000364F"/>
    <w:rsid w:val="00003D1C"/>
    <w:rsid w:val="000241CB"/>
    <w:rsid w:val="00024B9C"/>
    <w:rsid w:val="000334E0"/>
    <w:rsid w:val="0003473C"/>
    <w:rsid w:val="00034B26"/>
    <w:rsid w:val="0005369F"/>
    <w:rsid w:val="000557B8"/>
    <w:rsid w:val="00055E37"/>
    <w:rsid w:val="000640CE"/>
    <w:rsid w:val="00065FB5"/>
    <w:rsid w:val="000729A7"/>
    <w:rsid w:val="0007323C"/>
    <w:rsid w:val="000827A3"/>
    <w:rsid w:val="0008569B"/>
    <w:rsid w:val="000858AF"/>
    <w:rsid w:val="0009008D"/>
    <w:rsid w:val="00095BBA"/>
    <w:rsid w:val="000A0DF6"/>
    <w:rsid w:val="000A4DB0"/>
    <w:rsid w:val="000A697E"/>
    <w:rsid w:val="000D1613"/>
    <w:rsid w:val="000D2505"/>
    <w:rsid w:val="000F3894"/>
    <w:rsid w:val="001125D7"/>
    <w:rsid w:val="00120AF5"/>
    <w:rsid w:val="00144021"/>
    <w:rsid w:val="00144E68"/>
    <w:rsid w:val="0017727F"/>
    <w:rsid w:val="001848B1"/>
    <w:rsid w:val="0019201F"/>
    <w:rsid w:val="001A01B7"/>
    <w:rsid w:val="001A27A8"/>
    <w:rsid w:val="001A2FAC"/>
    <w:rsid w:val="001B2FA2"/>
    <w:rsid w:val="001B4AD7"/>
    <w:rsid w:val="001E6F92"/>
    <w:rsid w:val="001E7B0D"/>
    <w:rsid w:val="001F45BC"/>
    <w:rsid w:val="001F53D1"/>
    <w:rsid w:val="00204C8E"/>
    <w:rsid w:val="002335E0"/>
    <w:rsid w:val="00254431"/>
    <w:rsid w:val="002624D3"/>
    <w:rsid w:val="0027741A"/>
    <w:rsid w:val="00281542"/>
    <w:rsid w:val="002C069A"/>
    <w:rsid w:val="002C0B28"/>
    <w:rsid w:val="002E737E"/>
    <w:rsid w:val="002F2476"/>
    <w:rsid w:val="002F651C"/>
    <w:rsid w:val="003053CD"/>
    <w:rsid w:val="00323B0F"/>
    <w:rsid w:val="00324D88"/>
    <w:rsid w:val="00344090"/>
    <w:rsid w:val="003602C8"/>
    <w:rsid w:val="003718DF"/>
    <w:rsid w:val="00383B97"/>
    <w:rsid w:val="00385BB5"/>
    <w:rsid w:val="003A5FAA"/>
    <w:rsid w:val="003D0F71"/>
    <w:rsid w:val="003F0452"/>
    <w:rsid w:val="003F261D"/>
    <w:rsid w:val="003F2D87"/>
    <w:rsid w:val="003F7E33"/>
    <w:rsid w:val="00402014"/>
    <w:rsid w:val="00405A2F"/>
    <w:rsid w:val="004415DD"/>
    <w:rsid w:val="00447C14"/>
    <w:rsid w:val="004532E4"/>
    <w:rsid w:val="004811D1"/>
    <w:rsid w:val="004900D3"/>
    <w:rsid w:val="004A08F4"/>
    <w:rsid w:val="004B0720"/>
    <w:rsid w:val="004B79C9"/>
    <w:rsid w:val="004C4AC0"/>
    <w:rsid w:val="004C6DC9"/>
    <w:rsid w:val="004D2991"/>
    <w:rsid w:val="004E4EB8"/>
    <w:rsid w:val="004F4B4A"/>
    <w:rsid w:val="00500CA2"/>
    <w:rsid w:val="0051118B"/>
    <w:rsid w:val="005134A7"/>
    <w:rsid w:val="00515B74"/>
    <w:rsid w:val="0052057D"/>
    <w:rsid w:val="00532E95"/>
    <w:rsid w:val="005336F3"/>
    <w:rsid w:val="00555552"/>
    <w:rsid w:val="00555750"/>
    <w:rsid w:val="00562364"/>
    <w:rsid w:val="00581EF1"/>
    <w:rsid w:val="0059052F"/>
    <w:rsid w:val="005A732B"/>
    <w:rsid w:val="005B10E5"/>
    <w:rsid w:val="005B4D10"/>
    <w:rsid w:val="005C777E"/>
    <w:rsid w:val="005D3D55"/>
    <w:rsid w:val="005E7622"/>
    <w:rsid w:val="005F1C21"/>
    <w:rsid w:val="005F458D"/>
    <w:rsid w:val="005F4B53"/>
    <w:rsid w:val="00602D86"/>
    <w:rsid w:val="00622725"/>
    <w:rsid w:val="0062590F"/>
    <w:rsid w:val="00635F6B"/>
    <w:rsid w:val="00650BBA"/>
    <w:rsid w:val="0065559C"/>
    <w:rsid w:val="00665A4C"/>
    <w:rsid w:val="00666CB3"/>
    <w:rsid w:val="00667B6B"/>
    <w:rsid w:val="00673996"/>
    <w:rsid w:val="00677D81"/>
    <w:rsid w:val="00682274"/>
    <w:rsid w:val="006A0A0E"/>
    <w:rsid w:val="006A6EE6"/>
    <w:rsid w:val="006D2663"/>
    <w:rsid w:val="006F47A4"/>
    <w:rsid w:val="00700084"/>
    <w:rsid w:val="00713D27"/>
    <w:rsid w:val="00722B7D"/>
    <w:rsid w:val="00726063"/>
    <w:rsid w:val="00732386"/>
    <w:rsid w:val="00737D32"/>
    <w:rsid w:val="00740721"/>
    <w:rsid w:val="00742494"/>
    <w:rsid w:val="00742F7C"/>
    <w:rsid w:val="0075288C"/>
    <w:rsid w:val="00752C46"/>
    <w:rsid w:val="00753094"/>
    <w:rsid w:val="00760E22"/>
    <w:rsid w:val="007638FB"/>
    <w:rsid w:val="0076519E"/>
    <w:rsid w:val="007700E9"/>
    <w:rsid w:val="00780EF5"/>
    <w:rsid w:val="00785186"/>
    <w:rsid w:val="00797C7E"/>
    <w:rsid w:val="007B1C63"/>
    <w:rsid w:val="007C5F8E"/>
    <w:rsid w:val="007D1096"/>
    <w:rsid w:val="0081535A"/>
    <w:rsid w:val="00832BED"/>
    <w:rsid w:val="008338D0"/>
    <w:rsid w:val="00836208"/>
    <w:rsid w:val="00836B9F"/>
    <w:rsid w:val="00840E4E"/>
    <w:rsid w:val="00843004"/>
    <w:rsid w:val="008436C3"/>
    <w:rsid w:val="008724D5"/>
    <w:rsid w:val="008759E2"/>
    <w:rsid w:val="0089058B"/>
    <w:rsid w:val="00892F5E"/>
    <w:rsid w:val="00894A4C"/>
    <w:rsid w:val="00895D85"/>
    <w:rsid w:val="008A027A"/>
    <w:rsid w:val="008A6BF0"/>
    <w:rsid w:val="008C3A64"/>
    <w:rsid w:val="008D3C1A"/>
    <w:rsid w:val="008D41EA"/>
    <w:rsid w:val="008D6906"/>
    <w:rsid w:val="0091563A"/>
    <w:rsid w:val="0091750E"/>
    <w:rsid w:val="00926B82"/>
    <w:rsid w:val="009376D6"/>
    <w:rsid w:val="00943838"/>
    <w:rsid w:val="00943FA2"/>
    <w:rsid w:val="00953E27"/>
    <w:rsid w:val="00954A11"/>
    <w:rsid w:val="00956304"/>
    <w:rsid w:val="009575D7"/>
    <w:rsid w:val="009641C6"/>
    <w:rsid w:val="00971FC0"/>
    <w:rsid w:val="009908D7"/>
    <w:rsid w:val="00994B6A"/>
    <w:rsid w:val="00996B48"/>
    <w:rsid w:val="009A6B3F"/>
    <w:rsid w:val="009C447A"/>
    <w:rsid w:val="009C7824"/>
    <w:rsid w:val="009D66AB"/>
    <w:rsid w:val="009D6950"/>
    <w:rsid w:val="009E7003"/>
    <w:rsid w:val="009F12F4"/>
    <w:rsid w:val="009F4FA7"/>
    <w:rsid w:val="00A00025"/>
    <w:rsid w:val="00A05352"/>
    <w:rsid w:val="00A06E17"/>
    <w:rsid w:val="00A13ED0"/>
    <w:rsid w:val="00A23C31"/>
    <w:rsid w:val="00A426E9"/>
    <w:rsid w:val="00A51BC7"/>
    <w:rsid w:val="00A52319"/>
    <w:rsid w:val="00A649A4"/>
    <w:rsid w:val="00A731D2"/>
    <w:rsid w:val="00A77066"/>
    <w:rsid w:val="00A8324E"/>
    <w:rsid w:val="00A85E62"/>
    <w:rsid w:val="00AC2759"/>
    <w:rsid w:val="00AC7392"/>
    <w:rsid w:val="00AC78DB"/>
    <w:rsid w:val="00AD090E"/>
    <w:rsid w:val="00AD0F67"/>
    <w:rsid w:val="00AE111F"/>
    <w:rsid w:val="00AE1869"/>
    <w:rsid w:val="00AF0F7C"/>
    <w:rsid w:val="00B11132"/>
    <w:rsid w:val="00B26D7D"/>
    <w:rsid w:val="00B45818"/>
    <w:rsid w:val="00B75137"/>
    <w:rsid w:val="00B75C27"/>
    <w:rsid w:val="00B83094"/>
    <w:rsid w:val="00B9572B"/>
    <w:rsid w:val="00BB5B2A"/>
    <w:rsid w:val="00BC35D4"/>
    <w:rsid w:val="00BC407C"/>
    <w:rsid w:val="00BC4C4D"/>
    <w:rsid w:val="00BC5C3C"/>
    <w:rsid w:val="00BC7B5A"/>
    <w:rsid w:val="00BD6794"/>
    <w:rsid w:val="00BF7FBB"/>
    <w:rsid w:val="00C060DC"/>
    <w:rsid w:val="00C06149"/>
    <w:rsid w:val="00C15C00"/>
    <w:rsid w:val="00C21714"/>
    <w:rsid w:val="00C316B6"/>
    <w:rsid w:val="00C376D9"/>
    <w:rsid w:val="00C57176"/>
    <w:rsid w:val="00C6126B"/>
    <w:rsid w:val="00C77C7E"/>
    <w:rsid w:val="00C815CE"/>
    <w:rsid w:val="00C83E40"/>
    <w:rsid w:val="00C94881"/>
    <w:rsid w:val="00CB0866"/>
    <w:rsid w:val="00CB37E7"/>
    <w:rsid w:val="00CC695D"/>
    <w:rsid w:val="00CD42F1"/>
    <w:rsid w:val="00CF0C51"/>
    <w:rsid w:val="00CF10B9"/>
    <w:rsid w:val="00CF4359"/>
    <w:rsid w:val="00D0068E"/>
    <w:rsid w:val="00D00761"/>
    <w:rsid w:val="00D04A28"/>
    <w:rsid w:val="00D06525"/>
    <w:rsid w:val="00D16EDB"/>
    <w:rsid w:val="00D24FFB"/>
    <w:rsid w:val="00D270E2"/>
    <w:rsid w:val="00D40714"/>
    <w:rsid w:val="00D5237B"/>
    <w:rsid w:val="00D55EC9"/>
    <w:rsid w:val="00D643EA"/>
    <w:rsid w:val="00D72888"/>
    <w:rsid w:val="00D75040"/>
    <w:rsid w:val="00D76524"/>
    <w:rsid w:val="00D85328"/>
    <w:rsid w:val="00DA056A"/>
    <w:rsid w:val="00DB3188"/>
    <w:rsid w:val="00DB6EC6"/>
    <w:rsid w:val="00DC3E60"/>
    <w:rsid w:val="00DC78FC"/>
    <w:rsid w:val="00DC7EA2"/>
    <w:rsid w:val="00DD0A35"/>
    <w:rsid w:val="00DD6AC5"/>
    <w:rsid w:val="00DE26E2"/>
    <w:rsid w:val="00DF26C3"/>
    <w:rsid w:val="00E00447"/>
    <w:rsid w:val="00E209E9"/>
    <w:rsid w:val="00E21251"/>
    <w:rsid w:val="00E21409"/>
    <w:rsid w:val="00E3665B"/>
    <w:rsid w:val="00E43AF2"/>
    <w:rsid w:val="00E474F1"/>
    <w:rsid w:val="00E557B6"/>
    <w:rsid w:val="00E563B8"/>
    <w:rsid w:val="00E653AC"/>
    <w:rsid w:val="00E66641"/>
    <w:rsid w:val="00E67AF5"/>
    <w:rsid w:val="00E81249"/>
    <w:rsid w:val="00E85780"/>
    <w:rsid w:val="00E8677B"/>
    <w:rsid w:val="00E96573"/>
    <w:rsid w:val="00EA1DE3"/>
    <w:rsid w:val="00ED5243"/>
    <w:rsid w:val="00EE0A59"/>
    <w:rsid w:val="00EE0CD1"/>
    <w:rsid w:val="00EE5E24"/>
    <w:rsid w:val="00F049EB"/>
    <w:rsid w:val="00F0505F"/>
    <w:rsid w:val="00F12507"/>
    <w:rsid w:val="00F267BE"/>
    <w:rsid w:val="00F35FCA"/>
    <w:rsid w:val="00F439F8"/>
    <w:rsid w:val="00F55124"/>
    <w:rsid w:val="00F60DE3"/>
    <w:rsid w:val="00F628D9"/>
    <w:rsid w:val="00F70CE5"/>
    <w:rsid w:val="00F72761"/>
    <w:rsid w:val="00F744BE"/>
    <w:rsid w:val="00F8384F"/>
    <w:rsid w:val="00F92812"/>
    <w:rsid w:val="00FA09C1"/>
    <w:rsid w:val="00FB5007"/>
    <w:rsid w:val="00FE373B"/>
    <w:rsid w:val="00FE5E32"/>
    <w:rsid w:val="00FF31EF"/>
    <w:rsid w:val="00FF31FF"/>
    <w:rsid w:val="00FF7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E4430BE286C7564D1217FC4ACB9809C9486C9598CF16B8A8339307D84a2WEL" TargetMode="External"/><Relationship Id="rId13" Type="http://schemas.openxmlformats.org/officeDocument/2006/relationships/hyperlink" Target="consultantplus://offline/ref=1E4430BE286C7564D1217FC4ACB9809C9486C9598CF16B8A8339307D84a2WEL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E4430BE286C7564D1217FC4ACB9809C9485CD528CF26B8A8339307D84a2WEL" TargetMode="External"/><Relationship Id="rId12" Type="http://schemas.openxmlformats.org/officeDocument/2006/relationships/hyperlink" Target="consultantplus://offline/ref=1E4430BE286C7564D1217FC4ACB9809C9486C9598CF16B8A8339307D84a2WEL" TargetMode="External"/><Relationship Id="rId17" Type="http://schemas.openxmlformats.org/officeDocument/2006/relationships/hyperlink" Target="consultantplus://offline/ref=1E4430BE286C7564D12161CAA8B9809C9485CD5184F76B8A8339307D842EDED6B8BE9F1F6870D68DaCW1L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1E4430BE286C7564D12161CAA8B9809C9485CD5184F76B8A8339307D842EDED6B8BE9F1F6870D78EaCW3L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1E4430BE286C7564D1217FC4ACB9809C9486C9598CF16B8A8339307D84a2WEL" TargetMode="External"/><Relationship Id="rId11" Type="http://schemas.openxmlformats.org/officeDocument/2006/relationships/hyperlink" Target="consultantplus://offline/ref=1E4430BE286C7564D1217FC4ACB9809C9485CD528CF26B8A8339307D84a2WEL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1E4430BE286C7564D1217FC4ACB9809C9487C95986F56B8A8339307D842EDED6B8BE9F1F6870D68CaCWAL" TargetMode="External"/><Relationship Id="rId10" Type="http://schemas.openxmlformats.org/officeDocument/2006/relationships/hyperlink" Target="consultantplus://offline/ref=1E4430BE286C7564D1217FC4ACB9809C9485CA5280FC6B8A8339307D842EDED6B8BE9F1F6872D688aCWAL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E4430BE286C7564D1217FC4ACB9809C9485CD528CF26B8A8339307D842EDED6B8BE9F1F6870D684aCW0L" TargetMode="External"/><Relationship Id="rId14" Type="http://schemas.openxmlformats.org/officeDocument/2006/relationships/hyperlink" Target="consultantplus://offline/ref=1E4430BE286C7564D1217FC4ACB9809C9485CD528CF26B8A8339307D842EDED6B8BE9F1F6Da7W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1607</Words>
  <Characters>9166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Николай Супренов</dc:creator>
  <cp:lastModifiedBy>Николай Супренов</cp:lastModifiedBy>
  <cp:revision>1</cp:revision>
  <dcterms:created xsi:type="dcterms:W3CDTF">2015-06-24T11:22:00Z</dcterms:created>
  <dcterms:modified xsi:type="dcterms:W3CDTF">2015-06-24T11:23:00Z</dcterms:modified>
</cp:coreProperties>
</file>